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21.04pt;height:44.26pt;margin-top:9pt;margin-left:49.98pt;mso-position-horizontal-relative:page;position:absolute;z-index:251658240" stroked="f">
            <v:fill r:id="rId4" o:title="" type="frame"/>
            <v:textbox>
              <w:txbxContent>
                <w:p>
                  <w:pPr>
                    <w:pStyle w:val="Heading1"/>
                    <w:spacing w:before="183" w:beforeAutospacing="0" w:after="0" w:afterAutospacing="0"/>
                    <w:jc w:val="center"/>
                  </w:pPr>
                  <w:bookmarkStart w:id="0" w:name="_Toc_1_3_0000000001"/>
                  <w:r>
                    <w:rPr>
                      <w:rFonts w:ascii="Cambria" w:eastAsia="Cambria" w:hAnsi="Cambria" w:cs="Cambria"/>
                      <w:b/>
                      <w:sz w:val="26"/>
                    </w:rPr>
                    <w:t xml:space="preserve">Al-Fātihah</w:t>
                  </w:r>
                  <w:bookmarkEnd w:id="0"/>
                </w:p>
              </w:txbxContent>
            </v:textbox>
            <w10:wrap type="topAndBottom"/>
          </v:shape>
        </w:pict>
      </w:r>
    </w:p>
    <w:p>
      <w:pPr>
        <w:spacing w:line="240" w:lineRule="auto"/>
        <w:jc w:val="center"/>
      </w:pPr>
      <w:r>
        <w:rPr>
          <w:rFonts w:ascii="Arial" w:eastAsia="Arial" w:hAnsi="Arial" w:cs="Arial"/>
          <w:b/>
          <w:sz w:val="22"/>
        </w:rPr>
        <w:t xml:space="preserve">In the name of Allah, the Most Compassionate, the Most Merciful.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thick" w:sz="2" w:space="0" w:color="auto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100"/>
        <w:gridCol w:w="2733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thick" w:sz="2" w:space="0" w:color="auto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1.</w:t>
              <w:tab/>
              <w:t xml:space="preserve">In the name of Allah, the Most Compassionate, the Most Merciful.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بِسۡمِ ٱللَّهِ ٱلرَّحۡمَٰنِ ٱلرَّحِيمِ ١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2.</w:t>
              <w:tab/>
              <w:t xml:space="preserve">All praise be to Allah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0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 the Lord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1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 of the worlds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2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ٱلۡحَمۡدُ لِلَّهِ رَبِّ ٱلۡعَٰلَمِينَ  ٢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3.</w:t>
              <w:tab/>
              <w:t xml:space="preserve">the Most Compassionate, the Most Merciful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3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 ٱلرَّحۡمَٰنِ ٱلرَّحِيمِ  ٣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4.</w:t>
              <w:tab/>
              <w:t xml:space="preserve">Master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4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 of the Day of Judgment.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مَٰلِكِ يَوۡمِ ٱلدِّينِ  ٤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5.</w:t>
              <w:tab/>
              <w:t xml:space="preserve">You alone we worship, and You alone we ask for help.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 إِيَّاكَ نَعۡبُدُ وَإِيَّاكَ نَسۡتَعِينُ  ٥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6.</w:t>
              <w:tab/>
              <w:t xml:space="preserve">Guide us to the straight path,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ٱهۡدِنَا  ٱلصِّرَٰطَ ٱلۡمُسۡتَقِيمَ  ٦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7.</w:t>
              <w:tab/>
              <w:t xml:space="preserve">the path of those whom You have blessed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5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; not of those who incurred Your Wrath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6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 or of those who went astray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7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صِرَٰطَ ٱلَّذِينَ أَنۡعَمۡتَ  عَلَيۡهِمۡ غَيۡرِ ٱلۡمَغۡضُوبِ عَلَيۡهِمۡ  وَلَا ٱلضَّآلِّينَ ٧</w:t>
            </w:r>
          </w:p>
        </w:tc>
      </w:tr>
    </w:tbl>
    <w:p>
      <w:pPr>
        <w:sectPr>
          <w:headerReference w:type="default" r:id="rId5"/>
          <w:footerReference w:type="default" r:id="rId6"/>
          <w:footnotePr>
            <w:numRestart w:val="eachPage"/>
          </w:footnotePr>
          <w:pgSz w:w="8420" w:h="11900"/>
          <w:pgMar w:top="737" w:right="794" w:bottom="737" w:left="794" w:header="284" w:footer="284" w:gutter="0"/>
        </w:sectPr>
      </w:pPr>
    </w:p>
    <w:p>
      <w:r>
        <w:pict>
          <v:shape id="_x0000_s1026" type="#_x0000_t202" style="width:321.04pt;height:44.26pt;margin-top:9pt;margin-left:49.98pt;mso-position-horizontal-relative:page;position:absolute;z-index:251659264" stroked="f">
            <v:fill r:id="rId4" o:title="" type="frame"/>
            <v:textbox>
              <w:txbxContent>
                <w:p>
                  <w:pPr>
                    <w:pStyle w:val="Heading1"/>
                    <w:spacing w:before="183" w:beforeAutospacing="0" w:after="0" w:afterAutospacing="0"/>
                    <w:jc w:val="center"/>
                  </w:pPr>
                  <w:bookmarkStart w:id="1" w:name="_Toc_1_3_0000000002"/>
                  <w:r>
                    <w:rPr>
                      <w:rFonts w:ascii="Cambria" w:eastAsia="Cambria" w:hAnsi="Cambria" w:cs="Cambria"/>
                      <w:b/>
                      <w:sz w:val="26"/>
                    </w:rPr>
                    <w:t xml:space="preserve">Al-Baqarah</w:t>
                  </w:r>
                  <w:bookmarkEnd w:id="1"/>
                </w:p>
              </w:txbxContent>
            </v:textbox>
            <w10:wrap type="topAndBottom"/>
          </v:shape>
        </w:pict>
      </w:r>
    </w:p>
    <w:p>
      <w:pPr>
        <w:spacing w:line="240" w:lineRule="auto"/>
        <w:jc w:val="center"/>
      </w:pPr>
      <w:r>
        <w:rPr>
          <w:rFonts w:ascii="Arial" w:eastAsia="Arial" w:hAnsi="Arial" w:cs="Arial"/>
          <w:b/>
          <w:sz w:val="22"/>
        </w:rPr>
        <w:t xml:space="preserve">In the name of Allah, the Most Compassionate, the Most Merciful.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thick" w:sz="2" w:space="0" w:color="auto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4100"/>
        <w:gridCol w:w="2733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thick" w:sz="2" w:space="0" w:color="auto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1.</w:t>
              <w:tab/>
              <w:t xml:space="preserve">Alif Lām Mīm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8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الٓمٓ  ١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2.</w:t>
              <w:tab/>
              <w:t xml:space="preserve">This is the Book about which there is no doubt, a guidance for the righteous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9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ذَٰلِكَ ٱلۡكِتَٰبُ لَا رَيۡبَۛ فِيهِۛ هُدٗى  لِّلۡمُتَّقِينَ  ٢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3.</w:t>
              <w:tab/>
              <w:t xml:space="preserve">those who believe in the unseen, establish prayer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10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 and spend out of what We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11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 have provided for them,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ٱلَّذِينَ يُؤۡمِنُونَ بِٱلۡغَيۡبِ وَيُقِيمُونَ ٱلصَّلَوٰةَ  وَمِمَّا رَزَقۡنَٰهُمۡ يُنفِقُونَ  ٣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4.</w:t>
              <w:tab/>
              <w:t xml:space="preserve">and those who believe in what has been sent down to you [O Prophet] and in what was sent down before you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12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, and in the Hereafter they believe with certainty.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وَٱلَّذِينَ يُؤۡمِنُونَ بِمَآ أُنزِلَ  إِلَيۡكَ وَمَآ أُنزِلَ مِن قَبۡلِكَ وَبِٱلۡأٓخِرَةِ هُمۡ يُوقِنُونَ  ٤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5.</w:t>
              <w:tab/>
              <w:t xml:space="preserve">It is they who are upon guidance from their Lord, and it is they who are successful.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 أُوْلَٰٓئِكَ عَلَىٰ هُدٗى مِّن رَّبِّهِمۡۖ وَأُوْلَٰٓئِكَ  هُمُ ٱلۡمُفۡلِحُونَ ٥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6.</w:t>
              <w:tab/>
              <w:t xml:space="preserve">Those who persist in disbelief, it is the same whether you warn them or not, they will not believe.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إِنَّ ٱلَّذِينَ كَفَرُواْ سَوَآءٌ عَلَيۡهِمۡ ءَأَنذَرۡتَهُمۡ أَمۡ لَمۡ تُنذِرۡهُمۡ  لَا يُؤۡمِنُونَ  ٦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7.</w:t>
              <w:tab/>
              <w:t xml:space="preserve">Allah has sealed their hearts and their hearing, and their sight is covered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13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; and for them there will be a great punishment.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خَتَمَ ٱللَّهُ عَلَىٰ قُلُوبِهِمۡ وَعَلَىٰ سَمۡعِهِمۡۖ وَعَلَىٰٓ  أَبۡصَٰرِهِمۡ غِشَٰوَةٞۖ وَلَهُمۡ عَذَابٌ عَظِيمٞ  ٧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8.</w:t>
              <w:tab/>
              <w:t xml:space="preserve">There are some people</w:t>
            </w:r>
            <w:r>
              <w:rPr>
                <w:rStyle w:val="FootnoteReference"/>
                <w:rFonts w:ascii="Cambria" w:eastAsia="Cambria" w:hAnsi="Cambria" w:cs="Cambria"/>
                <w:b/>
                <w:color w:val="006400"/>
                <w:sz w:val="16"/>
              </w:rPr>
              <w:footnoteReference w:id="14"/>
            </w: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 who say, “We believe in Allah and the Last Day,” whereas they are not believers.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وَمِنَ ٱلنَّاسِ  مَن يَقُولُ ءَامَنَّا بِٱللَّهِ وَبِٱلۡيَوۡمِ ٱلۡأٓخِرِ وَمَا هُم بِمُؤۡمِنِينَ  ٨ 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0" w:type="pct"/>
            <w:vAlign w:val="center"/>
          </w:tcPr>
          <w:p>
            <w:pPr>
              <w:wordWrap/>
              <w:spacing w:before="0" w:after="0" w:line="240" w:lineRule="auto"/>
              <w:ind w:left="0" w:right="0" w:firstLine="0"/>
              <w:jc w:val="both"/>
            </w:pPr>
            <w:r>
              <w:rPr>
                <w:rFonts w:ascii="Cambria" w:eastAsia="Cambria" w:hAnsi="Cambria" w:cs="Cambria"/>
                <w:b w:val="0"/>
                <w:color w:val="000000"/>
                <w:sz w:val="24"/>
              </w:rPr>
              <w:t xml:space="preserve">9.</w:t>
              <w:tab/>
              <w:t xml:space="preserve">They seek to deceive Allah and those who believe, while they deceive none but themselves, but they do not realize.</w:t>
            </w:r>
          </w:p>
        </w:tc>
        <w:tc>
          <w:tcPr>
            <w:tcW w:w="2000" w:type="pct"/>
            <w:vAlign w:val="center"/>
          </w:tcPr>
          <w:p>
            <w:pPr>
              <w:bidi/>
              <w:spacing w:before="60" w:after="40" w:line="240" w:lineRule="auto"/>
              <w:ind w:left="0" w:right="0" w:firstLine="0"/>
              <w:jc w:val="center"/>
            </w:pPr>
            <w:r>
              <w:rPr>
                <w:rFonts w:ascii="KFGQPC HAFS Uthmanic Script" w:eastAsia="KFGQPC HAFS Uthmanic Script" w:hAnsi="KFGQPC HAFS Uthmanic Script" w:cs="KFGQPC HAFS Uthmanic Script"/>
                <w:b w:val="0"/>
                <w:color w:val="187600"/>
                <w:sz w:val="22"/>
                <w:szCs w:val="22"/>
                <w:rtl/>
              </w:rPr>
              <w:t xml:space="preserve"> يُخَٰدِعُونَ ٱللَّهَ وَٱلَّذِينَ ءَامَنُواْ وَمَا يَخۡدَعُونَ إِلَّآ أَنفُسَهُمۡ  وَمَا يَشۡعُرُونَ  ٩ </w:t>
            </w:r>
          </w:p>
        </w:tc>
      </w:tr>
    </w:tbl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8420" w:h="11900" w:orient="portrait"/>
          <w:pgMar w:top="737" w:right="794" w:bottom="737" w:left="794" w:header="284" w:footer="284" w:gutter="0"/>
        </w:sectPr>
      </w:pPr>
    </w:p>
    <w:p>
      <w:pPr/>
      <w:r>
        <w:t xml:space="preserve">Translation Info:</w:t>
      </w:r>
    </w:p>
    <w:p>
      <w:pPr/>
      <w:r>
        <w:t xml:space="preserve">#---------------------------</w:t>
      </w:r>
    </w:p>
    <w:p>
      <w:pPr/>
      <w:r>
        <w:t xml:space="preserve"># Translation of the meanings of the Noble Qur'an</w:t>
      </w:r>
    </w:p>
    <w:p>
      <w:pPr/>
      <w:r>
        <w:t xml:space="preserve"># Language: English</w:t>
      </w:r>
    </w:p>
    <w:p>
      <w:pPr/>
      <w:r>
        <w:t xml:space="preserve"># Translation ID: english_rwwad</w:t>
      </w:r>
    </w:p>
    <w:p>
      <w:pPr/>
      <w:r>
        <w:t xml:space="preserve"># Source: https://quranenc.com</w:t>
      </w:r>
    </w:p>
    <w:p>
      <w:pPr/>
      <w:r>
        <w:t xml:space="preserve"># URL: https://quranenc.com/en/browse/english_rwwad</w:t>
      </w:r>
    </w:p>
    <w:p>
      <w:pPr/>
      <w:r>
        <w:t xml:space="preserve"># Last update: 2026-03-12 23:45:25 (v1.0.19-csv.1)</w:t>
      </w:r>
    </w:p>
    <w:p>
      <w:pPr/>
      <w:r>
        <w:t xml:space="preserve"># Check for updates: https://quranenc.com/check/english_rwwad/v1.0.19-csv.1</w:t>
      </w:r>
    </w:p>
    <w:p>
      <w:pPr/>
      <w:r>
        <w:t xml:space="preserve"># PLEASE DON'T REMOVE THIS IMPORTANT INFORMATION!</w:t>
      </w:r>
    </w:p>
    <w:p>
      <w:pPr>
        <w:sectPr>
          <w:headerReference w:type="even" r:id="rId13"/>
          <w:headerReference w:type="default" r:id="rId14"/>
          <w:headerReference w:type="first" r:id="rId15"/>
          <w:footerReference w:type="even" r:id="rId16"/>
          <w:footerReference w:type="default" r:id="rId17"/>
          <w:footerReference w:type="first" r:id="rId18"/>
          <w:pgSz w:w="8420" w:h="11900" w:orient="portrait"/>
          <w:pgMar w:top="737" w:right="794" w:bottom="737" w:left="794" w:header="284" w:footer="284" w:gutter="0"/>
        </w:sectPr>
      </w:pPr>
      <w:r>
        <w:t xml:space="preserve">#---------------------------</w:t>
      </w:r>
    </w:p>
    <w:p>
      <w:pPr>
        <w:jc w:val="center"/>
      </w:pPr>
      <w:r>
        <w:rPr>
          <w:b/>
        </w:rPr>
        <w:t xml:space="preserve">الفهرس</w:t>
      </w:r>
    </w:p>
    <w:p>
      <w:pPr>
        <w:jc w:val="center"/>
      </w:pPr>
    </w:p>
    <w:p>
      <w:pPr>
        <w:pStyle w:val="TOC1"/>
        <w:tabs>
          <w:tab w:val="right" w:leader="dot" w:pos="6822"/>
        </w:tabs>
      </w:pPr>
      <w:r>
        <w:fldChar w:fldCharType="begin"/>
      </w:r>
      <w:r>
        <w:instrText xml:space="preserve">TOC \o "1-3" \h \z </w:instrText>
      </w:r>
      <w:r>
        <w:fldChar w:fldCharType="separate"/>
      </w:r>
      <w:hyperlink w:anchor="_Toc_1_3_0000000001" w:history="1">
        <w:r>
          <w:t xml:space="preserve">Al-Fātihah</w:t>
        </w:r>
        <w:r>
          <w:tab/>
        </w:r>
        <w:r>
          <w:fldChar w:fldCharType="begin"/>
        </w:r>
        <w:r>
          <w:instrText xml:space="preserve">PAGEREF _Toc_1_3_0000000001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6822"/>
        </w:tabs>
      </w:pPr>
      <w:hyperlink w:anchor="_Toc_1_3_0000000002" w:history="1">
        <w:r>
          <w:t xml:space="preserve">Al-Baqarah</w:t>
        </w:r>
        <w:r>
          <w:tab/>
        </w:r>
        <w:r>
          <w:fldChar w:fldCharType="begin"/>
        </w:r>
        <w:r>
          <w:instrText xml:space="preserve">PAGEREF _Toc_1_3_0000000002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jc w:val="center"/>
        <w:sectPr>
          <w:headerReference w:type="even" r:id="rId19"/>
          <w:headerReference w:type="default" r:id="rId20"/>
          <w:headerReference w:type="first" r:id="rId21"/>
          <w:footerReference w:type="even" r:id="rId22"/>
          <w:footerReference w:type="default" r:id="rId23"/>
          <w:footerReference w:type="first" r:id="rId24"/>
          <w:pgSz w:w="8420" w:h="11900" w:orient="portrait"/>
          <w:pgMar w:top="737" w:right="794" w:bottom="737" w:left="794" w:header="284" w:footer="284" w:gutter="0"/>
        </w:sectPr>
      </w:pPr>
      <w:r>
        <w:fldChar w:fldCharType="end"/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11"/>
        <w:gridCol w:w="2345"/>
        <w:gridCol w:w="2278"/>
      </w:tblGrid>
      <w:tr>
        <w:tblPrEx>
          <w:tblW w:w="5000" w:type="pct"/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c>
          <w:tcPr/>
          <w:tbl>
            <w:tblPr>
              <w:tblBorders>
                <w:top w:val="thick" w:sz="2" w:space="0" w:color="auto"/>
                <w:left w:val="thick" w:sz="2" w:space="0" w:color="auto"/>
                <w:bottom w:val="thick" w:sz="2" w:space="0" w:color="auto"/>
                <w:right w:val="thick" w:sz="2" w:space="0" w:color="auto"/>
                <w:insideH w:val="thick" w:sz="2" w:space="0" w:color="auto"/>
                <w:insideV w:val="thick" w:sz="2" w:space="0" w:color="auto"/>
              </w:tblBorders>
              <w:tblCellMar>
                <w:top w:w="0" w:type="dxa"/>
                <w:bottom w:w="0" w:type="dxa"/>
              </w:tblCellMar>
            </w:tblPr>
            <w:tblGrid>
              <w:gridCol w:w="386"/>
              <w:gridCol w:w="1076"/>
              <w:gridCol w:w="517"/>
            </w:tblGrid>
            <w:tr>
              <w:tblPrEx>
                <w:tblBorders>
                  <w:top w:val="thick" w:sz="2" w:space="0" w:color="auto"/>
                  <w:left w:val="thick" w:sz="2" w:space="0" w:color="auto"/>
                  <w:bottom w:val="thick" w:sz="2" w:space="0" w:color="auto"/>
                  <w:right w:val="thick" w:sz="2" w:space="0" w:color="auto"/>
                  <w:insideH w:val="thick" w:sz="2" w:space="0" w:color="auto"/>
                  <w:insideV w:val="thick" w:sz="2" w:space="0" w:color="auto"/>
                </w:tblBorders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Al-Fātihah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Al-Baqarah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Āl-‘Imrān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An-Nisā’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Al-Mā’idah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Al-An‘ām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Al-A‘rāf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Al-Anfāl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At-Tawbah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_Toc_1_3_0000000009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Yūnus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Hūd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Yūsuf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Ar-Ra‘d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Ibrāhīm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Al-Hijr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An-Nahl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Al-Isrā’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Al-Kahf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Maryam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_Toc_1_3_0000000019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Tā-ha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Al-Anbiyā’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Al-Hajj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Al-Mu’minūn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An-Noor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Al-Furqān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Ash-Shu‘arā’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An-Naml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Al-Qasas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29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Al-‘Ankabūt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_Toc_1_3_0000000029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Ar-Rūm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Luqmān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As-Sajdah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Al-Ahzāb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Saba’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Fātir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Yā-Sīn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As-Sāffāt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Sād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</w:tbl>
          <w:p/>
        </w:tc>
        <w:tc>
          <w:tcPr/>
          <w:tbl>
            <w:tblPr>
              <w:tblBorders>
                <w:top w:val="thick" w:sz="2" w:space="0" w:color="auto"/>
                <w:left w:val="thick" w:sz="2" w:space="0" w:color="auto"/>
                <w:bottom w:val="thick" w:sz="2" w:space="0" w:color="auto"/>
                <w:right w:val="thick" w:sz="2" w:space="0" w:color="auto"/>
                <w:insideH w:val="thick" w:sz="2" w:space="0" w:color="auto"/>
                <w:insideV w:val="thick" w:sz="2" w:space="0" w:color="auto"/>
              </w:tblBorders>
              <w:tblCellMar>
                <w:top w:w="0" w:type="dxa"/>
                <w:bottom w:w="0" w:type="dxa"/>
              </w:tblCellMar>
            </w:tblPr>
            <w:tblGrid>
              <w:gridCol w:w="407"/>
              <w:gridCol w:w="1186"/>
              <w:gridCol w:w="520"/>
            </w:tblGrid>
            <w:tr>
              <w:tblPrEx>
                <w:tblBorders>
                  <w:top w:val="thick" w:sz="2" w:space="0" w:color="auto"/>
                  <w:left w:val="thick" w:sz="2" w:space="0" w:color="auto"/>
                  <w:bottom w:val="thick" w:sz="2" w:space="0" w:color="auto"/>
                  <w:right w:val="thick" w:sz="2" w:space="0" w:color="auto"/>
                  <w:insideH w:val="thick" w:sz="2" w:space="0" w:color="auto"/>
                  <w:insideV w:val="thick" w:sz="2" w:space="0" w:color="auto"/>
                </w:tblBorders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39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Az-Zumar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_Toc_1_3_0000000039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Ghāfir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Fussilat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Ash-Shūra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Az-Zukhruf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Ad-Dukhān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Al-Jāthiyah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Al-Ahqāf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Muhammad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Al-Fat'h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49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Al-Hujurāt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_Toc_1_3_0000000049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Qāf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Adh-Dhāriyāt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At-Toor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An-Najm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Al-Qamar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Ar-Rahmān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Al-Wāqi‘ah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Al-Hadīd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Al-Mujādalah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59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Al-Hashr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_Toc_1_3_0000000059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Al-Mumtahanah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As-Saff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Al-Jumu‘ah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Al-Munāfiqūn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At-Taghābun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At-Talāq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At-Tahrīm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Al-Mulk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Al-Qalam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69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Al-Hāqqah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_Toc_1_3_0000000069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Al-Ma‘ārij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Nūh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Al-Jinn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Al-Muzzammil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Al-Muddaththir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Al-Qiyāmah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Al-Insān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</w:tbl>
          <w:p/>
        </w:tc>
        <w:tc>
          <w:tcPr/>
          <w:tbl>
            <w:tblPr>
              <w:tblBorders>
                <w:top w:val="thick" w:sz="2" w:space="0" w:color="auto"/>
                <w:left w:val="thick" w:sz="2" w:space="0" w:color="auto"/>
                <w:bottom w:val="thick" w:sz="2" w:space="0" w:color="auto"/>
                <w:right w:val="thick" w:sz="2" w:space="0" w:color="auto"/>
                <w:insideH w:val="thick" w:sz="2" w:space="0" w:color="auto"/>
                <w:insideV w:val="thick" w:sz="2" w:space="0" w:color="auto"/>
              </w:tblBorders>
              <w:tblCellMar>
                <w:top w:w="0" w:type="dxa"/>
                <w:bottom w:w="0" w:type="dxa"/>
              </w:tblCellMar>
            </w:tblPr>
            <w:tblGrid>
              <w:gridCol w:w="439"/>
              <w:gridCol w:w="1089"/>
              <w:gridCol w:w="518"/>
            </w:tblGrid>
            <w:tr>
              <w:tblPrEx>
                <w:tblBorders>
                  <w:top w:val="thick" w:sz="2" w:space="0" w:color="auto"/>
                  <w:left w:val="thick" w:sz="2" w:space="0" w:color="auto"/>
                  <w:bottom w:val="thick" w:sz="2" w:space="0" w:color="auto"/>
                  <w:right w:val="thick" w:sz="2" w:space="0" w:color="auto"/>
                  <w:insideH w:val="thick" w:sz="2" w:space="0" w:color="auto"/>
                  <w:insideV w:val="thick" w:sz="2" w:space="0" w:color="auto"/>
                </w:tblBorders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Al-Mursalāt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An-Naba’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79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An-Nāzi‘āt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_Toc_1_3_0000000079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‘Abasa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At-Takwīr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Al-Infitār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Al-Mutaffifīn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Al-Inshiqāq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Al-Burūj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At-Tāriq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Al-A‘lā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Al-Ghāshiyah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89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Al-Fajr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_Toc_1_3_0000000089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Al-Balad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Ash-Shams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Al-Layl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Ad-Duhā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Ash-Sharh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At-Teen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Al-‘Alaq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Al-Qadr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Al-Bayyinah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99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Az-Zalzalah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_Toc_1_3_0000000099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Al-‘Ādiyāt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Al-Qāri‘ah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At-Takāthur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Al-‘Asr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Al-Humazah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105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Al-Feel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_Toc_1_3_0000000105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106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Quraysh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_Toc_1_3_0000000106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107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Al-Mā‘ūn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_Toc_1_3_0000000107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108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Al-Kawthar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_Toc_1_3_0000000108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109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Al-Kāfirūn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_Toc_1_3_0000000109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110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An-Nasr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_Toc_1_3_0000000110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111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Al-Masad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_Toc_1_3_0000000111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112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Al-Ikhlās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_Toc_1_3_0000000112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113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Al-Falaq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_Toc_1_3_0000000113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  <w:tr>
              <w:tblPrEx>
                <w:tblCellMar>
                  <w:top w:w="0" w:type="dxa"/>
                  <w:bottom w:w="0" w:type="dxa"/>
                </w:tblCellMar>
              </w:tblPrEx>
              <w:trPr>
                <w:trHeight w:val="200"/>
              </w:trPr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t xml:space="preserve">114</w:t>
                  </w:r>
                </w:p>
              </w:tc>
              <w:tc>
                <w:tcPr>
                  <w:tcW w:w="3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rFonts w:ascii="Bookman Old Style" w:eastAsia="Bookman Old Style" w:hAnsi="Bookman Old Style" w:cs="Bookman Old Style"/>
                      <w:sz w:val="16"/>
                    </w:rPr>
                    <w:t xml:space="preserve">An-Nās</w:t>
                  </w:r>
                </w:p>
              </w:tc>
              <w:tc>
                <w:tcPr>
                  <w:tcW w:w="1000" w:type="pct"/>
                  <w:vAlign w:val="center"/>
                </w:tcPr>
                <w:p>
                  <w:pPr>
                    <w:spacing w:before="0" w:after="0"/>
                    <w:jc w:val="center"/>
                  </w:pPr>
                  <w:r>
                    <w:rPr>
                      <w:b/>
                      <w:sz w:val="16"/>
                    </w:rPr>
                    <w:fldChar w:fldCharType="begin"/>
                  </w:r>
                  <w:r>
                    <w:rPr>
                      <w:b/>
                      <w:sz w:val="16"/>
                    </w:rPr>
                    <w:instrText xml:space="preserve">PAGEREF _Toc_1_3_0000000114 \h</w:instrText>
                  </w:r>
                  <w:r>
                    <w:rPr>
                      <w:b/>
                      <w:sz w:val="16"/>
                    </w:rPr>
                    <w:fldChar w:fldCharType="separate"/>
                  </w:r>
                  <w:r>
                    <w:rPr>
                      <w:b/>
                      <w:sz w:val="16"/>
                    </w:rPr>
                    <w:t xml:space="preserve">Page Ref</w:t>
                  </w:r>
                  <w:r>
                    <w:rPr>
                      <w:b/>
                      <w:sz w:val="16"/>
                    </w:rPr>
                    <w:fldChar w:fldCharType="end"/>
                  </w:r>
                </w:p>
              </w:tc>
            </w:tr>
          </w:tbl>
          <w:p/>
        </w:tc>
      </w:tr>
    </w:tbl>
    <w:sectPr>
      <w:headerReference w:type="even" r:id="rId25"/>
      <w:headerReference w:type="default" r:id="rId26"/>
      <w:headerReference w:type="first" r:id="rId27"/>
      <w:footerReference w:type="even" r:id="rId28"/>
      <w:footerReference w:type="default" r:id="rId29"/>
      <w:footerReference w:type="first" r:id="rId30"/>
      <w:pgSz w:w="8420" w:h="11900" w:orient="portrait"/>
      <w:pgMar w:top="737" w:right="794" w:bottom="737" w:left="794" w:header="284" w:footer="28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331.06pt;height:21.59pt;margin-top:0;margin-left:44.97pt;mso-position-horizontal-relative:page;position:absolute;z-index:251659264" stroked="f">
          <v:fill r:id="rId1" o:title="" type="frame"/>
          <v:textbox>
            <w:txbxContent>
              <w:p>
                <w:pPr>
                  <w:spacing w:before="16"/>
                  <w:jc w:val="center"/>
                </w:pPr>
                <w:r>
                  <w:rPr>
                    <w:b w:val="0"/>
                    <w:sz w:val="20"/>
                  </w:rPr>
                  <w:fldChar w:fldCharType="begin"/>
                </w:r>
                <w:r>
                  <w:rPr>
                    <w:b w:val="0"/>
                    <w:sz w:val="20"/>
                  </w:rPr>
                  <w:instrText xml:space="preserve">PAGE "Page Number"</w:instrText>
                </w:r>
                <w:r>
                  <w:rPr>
                    <w:b w:val="0"/>
                    <w:sz w:val="20"/>
                  </w:rPr>
                  <w:fldChar w:fldCharType="separate"/>
                </w:r>
                <w:r>
                  <w:rPr>
                    <w:b w:val="0"/>
                    <w:sz w:val="20"/>
                  </w:rPr>
                  <w:t xml:space="preserve">1</w:t>
                </w:r>
                <w:r>
                  <w:rPr>
                    <w:b w:val="0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331.06pt;height:21.59pt;margin-top:0;margin-left:44.97pt;mso-position-horizontal-relative:page;position:absolute;z-index:251661312" stroked="f">
          <v:fill r:id="rId1" o:title="" type="frame"/>
          <v:textbox>
            <w:txbxContent>
              <w:p>
                <w:pPr>
                  <w:spacing w:before="16"/>
                  <w:jc w:val="center"/>
                </w:pPr>
                <w:r>
                  <w:rPr>
                    <w:b w:val="0"/>
                    <w:sz w:val="20"/>
                  </w:rPr>
                  <w:fldChar w:fldCharType="begin"/>
                </w:r>
                <w:r>
                  <w:rPr>
                    <w:b w:val="0"/>
                    <w:sz w:val="20"/>
                  </w:rPr>
                  <w:instrText xml:space="preserve">PAGE "Page Number"</w:instrText>
                </w:r>
                <w:r>
                  <w:rPr>
                    <w:b w:val="0"/>
                    <w:sz w:val="20"/>
                  </w:rPr>
                  <w:fldChar w:fldCharType="separate"/>
                </w:r>
                <w:r>
                  <w:rPr>
                    <w:b w:val="0"/>
                    <w:sz w:val="20"/>
                  </w:rPr>
                  <w:t xml:space="preserve">3</w:t>
                </w:r>
                <w:r>
                  <w:rPr>
                    <w:b w:val="0"/>
                    <w:sz w:val="20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id="0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Allah is God’s most unique name.</w:t>
      </w:r>
    </w:p>
  </w:footnote>
  <w:footnote w:id="1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The Arabic term "rabb" (translated as "Lord") includes all of the following meanings: "owner, master, ruler, controller, sustainer, provider, guardian and caretaker."</w:t>
      </w:r>
    </w:p>
  </w:footnote>
  <w:footnote w:id="2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"the worlds" means mankind, jinn, and all that exists.</w:t>
      </w:r>
    </w:p>
  </w:footnote>
  <w:footnote w:id="3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Ar-Rahmān and Ar-Raheem are two names of Allah: Rahmān is used only to describe Allah, while raheem might be used to describe a human as well. Rahmān carries a wider meaning - merciful to all creation. Justice is a part of this mercy. Raheem includes the concept of specialty - especially merciful to the believers. Forgiveness is a part of this mercy. In addition, Rahmān is adjectival, referring to an attribute of Allah and is part of His essence. Raheem is verbal, indicating what He does: i.e., bestowing and implementing mercy.</w:t>
      </w:r>
    </w:p>
  </w:footnote>
  <w:footnote w:id="4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Other meanings for "Mālik": Sovereign, Owner, etc.</w:t>
      </w:r>
    </w:p>
  </w:footnote>
  <w:footnote w:id="5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The way of the Prophets and those who follow them.</w:t>
      </w:r>
    </w:p>
  </w:footnote>
  <w:footnote w:id="6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Those who know the Truth and do not follow it, like the Jews.</w:t>
      </w:r>
    </w:p>
  </w:footnote>
  <w:footnote w:id="7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Those who are ignorant of the Truth and follow misguidance, like the Christians.</w:t>
      </w:r>
    </w:p>
  </w:footnote>
  <w:footnote w:id="8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Allah knows the meaning of these disjointed Arabic letters. This bears testimony to the inimitable nature of the Qur’an and its divine source.</w:t>
      </w:r>
    </w:p>
  </w:footnote>
  <w:footnote w:id="9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Literally, "those who have taqwā," i.e., who have piety, righteousness, fear and love of Allah, and who take great care of avoiding His displeasure.</w:t>
      </w:r>
    </w:p>
  </w:footnote>
  <w:footnote w:id="10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At its proper times and fulfill its all conditions.</w:t>
      </w:r>
    </w:p>
  </w:footnote>
  <w:footnote w:id="11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"We" in reference to Allah in the Qur’anic verses is necessarily understood to denote grandeur and power.</w:t>
      </w:r>
    </w:p>
  </w:footnote>
  <w:footnote w:id="12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i.e., the Taurāt (Torah) and the Injīl (Gospel), etc.</w:t>
      </w:r>
    </w:p>
  </w:footnote>
  <w:footnote w:id="13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A covering preventing from discerning guidance, as a result of their arrogance and persistence in sin.</w:t>
      </w:r>
    </w:p>
  </w:footnote>
  <w:footnote w:id="14">
    <w:p>
      <w:pPr>
        <w:spacing w:line="240" w:lineRule="auto"/>
        <w:ind w:left="170" w:right="0" w:hanging="160"/>
        <w:jc w:val="both"/>
      </w:pPr>
      <w:r>
        <w:rPr>
          <w:rStyle w:val="FootnoteReference"/>
          <w:rFonts w:ascii="Cambria" w:eastAsia="Cambria" w:hAnsi="Cambria" w:cs="Cambria"/>
          <w:b/>
          <w:color w:val="006400"/>
          <w:sz w:val="16"/>
        </w:rPr>
        <w:footnoteRef/>
      </w:r>
      <w:r>
        <w:t xml:space="preserve"> </w:t>
      </w:r>
      <w:r>
        <w:rPr>
          <w:rFonts w:ascii="Cambria" w:eastAsia="Cambria" w:hAnsi="Cambria" w:cs="Cambria"/>
          <w:b w:val="0"/>
          <w:color w:val="000000"/>
          <w:sz w:val="16"/>
        </w:rPr>
        <w:t xml:space="preserve">i.e., the hypocrites.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41.62pt;height:29.59pt;margin-top:14.18pt;margin-left:39.69pt;mso-position-horizontal-relative:page;mso-position-vertical-relative:page;position:absolute;z-index:251658240" stroked="f">
          <v:fill r:id="rId1" o:title="" type="frame"/>
          <v:textbox>
            <w:txbxContent>
              <w:tbl>
                <w:tblPr>
                  <w:tblW w:w="5000" w:type="pct"/>
                  <w:tbl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blBorders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94"/>
                  <w:gridCol w:w="2164"/>
                  <w:gridCol w:w="2203"/>
                </w:tblGrid>
                <w:tr>
                  <w:tblPrEx>
                    <w:tblW w:w="5000" w:type="pc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c>
                    <w:tcPr>
                      <w:tcW w:w="2277" w:type="dxa"/>
                      <w:vAlign w:val="center"/>
                    </w:tcPr>
                    <w:p>
                      <w:pPr>
                        <w:spacing w:before="96" w:after="0"/>
                        <w:ind w:left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sz w:val="20"/>
                        </w:rPr>
                        <w:t xml:space="preserve">Al-Fātihah</w:t>
                      </w:r>
                    </w:p>
                  </w:tc>
                  <w:tc>
                    <w:tcPr>
                      <w:tcW w:w="2277" w:type="dxa"/>
                    </w:tcPr>
                    <w:p/>
                  </w:tc>
                  <w:tc>
                    <w:tcPr>
                      <w:tcW w:w="2277" w:type="dxa"/>
                      <w:vAlign w:val="center"/>
                    </w:tcPr>
                    <w:p>
                      <w:pPr>
                        <w:spacing w:before="96" w:after="0"/>
                        <w:ind w:left="0"/>
                        <w:jc w:val="center"/>
                      </w:pPr>
                      <w:r>
                        <w:rPr>
                          <w:rFonts w:cs="Times New Roman"/>
                        </w:rPr>
                        <w:t xml:space="preserve">سورة الفاتحة</w:t>
                      </w:r>
                    </w:p>
                  </w:tc>
                </w:tr>
              </w:tbl>
              <w:p/>
            </w:txbxContent>
          </v:textbox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41.62pt;height:29.59pt;margin-top:14.18pt;margin-left:39.69pt;mso-position-horizontal-relative:page;mso-position-vertical-relative:page;position:absolute;z-index:251660288" stroked="f">
          <v:fill r:id="rId1" o:title="" type="frame"/>
          <v:textbox>
            <w:txbxContent>
              <w:tbl>
                <w:tblPr>
                  <w:tblW w:w="5000" w:type="pct"/>
                  <w:tbl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blBorders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98"/>
                  <w:gridCol w:w="2165"/>
                  <w:gridCol w:w="2198"/>
                </w:tblGrid>
                <w:tr>
                  <w:tblPrEx>
                    <w:tblW w:w="5000" w:type="pc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c>
                    <w:tcPr>
                      <w:tcW w:w="2277" w:type="dxa"/>
                      <w:vAlign w:val="center"/>
                    </w:tcPr>
                    <w:p>
                      <w:pPr>
                        <w:spacing w:before="96" w:after="0"/>
                        <w:ind w:left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b w:val="0"/>
                          <w:sz w:val="20"/>
                        </w:rPr>
                        <w:t xml:space="preserve">Al-Baqarah</w:t>
                      </w:r>
                    </w:p>
                  </w:tc>
                  <w:tc>
                    <w:tcPr>
                      <w:tcW w:w="2277" w:type="dxa"/>
                    </w:tcPr>
                    <w:p/>
                  </w:tc>
                  <w:tc>
                    <w:tcPr>
                      <w:tcW w:w="2277" w:type="dxa"/>
                      <w:vAlign w:val="center"/>
                    </w:tcPr>
                    <w:p>
                      <w:pPr>
                        <w:spacing w:before="96" w:after="0"/>
                        <w:ind w:left="0"/>
                        <w:jc w:val="center"/>
                      </w:pPr>
                      <w:r>
                        <w:rPr>
                          <w:rFonts w:cs="Times New Roman"/>
                        </w:rPr>
                        <w:t xml:space="preserve">سورة البقرة</w:t>
                      </w:r>
                    </w:p>
                  </w:tc>
                </w:tr>
              </w:tbl>
              <w:p/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US" w:eastAsia="uk-UA" w:bidi="ar-SA"/>
    </w:rPr>
  </w:style>
  <w:style w:type="paragraph" w:styleId="Heading1">
    <w:name w:val="Heading 1"/>
    <w:basedOn w:val="Normal"/>
    <w:qFormat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FootnoteReference">
    <w:name w:val="Footnote Reference"/>
    <w:rPr>
      <w:vertAlign w:val="superscript"/>
    </w:rPr>
  </w:style>
  <w:style w:type="paragraph" w:styleId="TOC1">
    <w:name w:val="TOC 1"/>
    <w:basedOn w:val="Normal"/>
    <w:qFormat/>
    <w:rPr>
      <w:lang w:val="en-US"/>
    </w:rPr>
  </w:style>
  <w:style w:type="table" w:default="1" w:styleId="Normal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footer" Target="footer5.xml" /><Relationship Id="rId17" Type="http://schemas.openxmlformats.org/officeDocument/2006/relationships/footer" Target="footer6.xml" /><Relationship Id="rId18" Type="http://schemas.openxmlformats.org/officeDocument/2006/relationships/footer" Target="footer7.xml" /><Relationship Id="rId19" Type="http://schemas.openxmlformats.org/officeDocument/2006/relationships/header" Target="header8.xml" /><Relationship Id="rId2" Type="http://schemas.openxmlformats.org/officeDocument/2006/relationships/settings" Target="settings.xml" /><Relationship Id="rId20" Type="http://schemas.openxmlformats.org/officeDocument/2006/relationships/header" Target="header9.xml" /><Relationship Id="rId21" Type="http://schemas.openxmlformats.org/officeDocument/2006/relationships/header" Target="header10.xml" /><Relationship Id="rId22" Type="http://schemas.openxmlformats.org/officeDocument/2006/relationships/footer" Target="footer8.xml" /><Relationship Id="rId23" Type="http://schemas.openxmlformats.org/officeDocument/2006/relationships/footer" Target="footer9.xml" /><Relationship Id="rId24" Type="http://schemas.openxmlformats.org/officeDocument/2006/relationships/footer" Target="footer10.xml" /><Relationship Id="rId25" Type="http://schemas.openxmlformats.org/officeDocument/2006/relationships/header" Target="header11.xml" /><Relationship Id="rId26" Type="http://schemas.openxmlformats.org/officeDocument/2006/relationships/header" Target="header12.xml" /><Relationship Id="rId27" Type="http://schemas.openxmlformats.org/officeDocument/2006/relationships/header" Target="header13.xml" /><Relationship Id="rId28" Type="http://schemas.openxmlformats.org/officeDocument/2006/relationships/footer" Target="footer11.xml" /><Relationship Id="rId29" Type="http://schemas.openxmlformats.org/officeDocument/2006/relationships/footer" Target="footer12.xml" /><Relationship Id="rId3" Type="http://schemas.openxmlformats.org/officeDocument/2006/relationships/webSettings" Target="webSettings.xml" /><Relationship Id="rId30" Type="http://schemas.openxmlformats.org/officeDocument/2006/relationships/footer" Target="footer13.xm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3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header" Target="header4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Application>Spire.Doc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2026-04-15T09:46:42Z</dcterms:created>
  <dcterms:modified xsi:type="dcterms:W3CDTF">2026-04-15T09:46:42Z</dcterms:modified>
</cp:coreProperties>
</file>